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wp="http://schemas.openxmlformats.org/drawingml/2006/wordprocessingDrawing" xmlns:r="http://schemas.openxmlformats.org/officeDocument/2006/relationships">
  <w:body>
    <w:p>
      <w:pPr>
        <w:spacing w:before="480" w:after="480" w:line="288" w:lineRule="auto"/>
        <w:ind w:left="0"/>
      </w:pPr>
      <w:r>
        <w:t>7.02.10 Model Conversion</w:t>
      </w:r>
    </w:p>
    <w:p>
      <w:pPr>
        <w:pStyle w:val="2"/>
        <w:spacing w:before="320" w:after="120" w:line="288" w:lineRule="auto"/>
        <w:ind w:left="0"/>
        <w:jc w:val="left"/>
        <w:outlineLvl w:val="1"/>
      </w:pPr>
      <w:bookmarkStart w:name="heading_0" w:id="0"/>
      <w:r>
        <w:rPr>
          <w:rFonts w:eastAsia="等线" w:ascii="Arial" w:cs="Arial" w:hAnsi="Arial"/>
          <w:b w:val="true"/>
          <w:sz w:val="32"/>
        </w:rPr>
        <w:t>Introduction</w:t>
      </w:r>
      <w:bookmarkEnd w:id="0"/>
    </w:p>
    <w:p>
      <w:pPr>
        <w:spacing w:before="120" w:after="120" w:line="288" w:lineRule="auto"/>
        <w:ind w:left="0"/>
        <w:jc w:val="left"/>
      </w:pPr>
      <w:r>
        <w:rPr>
          <w:rFonts w:eastAsia="等线" w:ascii="Arial" w:cs="Arial" w:hAnsi="Arial"/>
          <w:sz w:val="22"/>
        </w:rPr>
        <w:t>Model conversion is a key step in converting a trained deep learning model from the original frame format (e.g., the .pt file for PyTorch) to another format to accommodate different deployment environments, inference frameworks or hardware platforms. After learning from the previous chapters, you can already train your own YOLO model, but when actually deployed, the original format may not be able to fully perform the Jetson hardware.</w:t>
      </w:r>
      <w:r>
        <w:rPr>
          <w:rFonts w:eastAsia="Consolas" w:ascii="Consolas" w:cs="Consolas" w:hAnsi="Consolas"/>
          <w:sz w:val="22"/>
          <w:shd w:fill="EFF0F1"/>
        </w:rPr>
      </w:r>
      <w:r>
        <w:rPr>
          <w:rFonts w:eastAsia="等线" w:ascii="Arial" w:cs="Arial" w:hAnsi="Arial"/>
          <w:sz w:val="22"/>
        </w:rPr>
      </w:r>
    </w:p>
    <w:p>
      <w:pPr>
        <w:spacing w:before="120" w:after="120" w:line="288" w:lineRule="auto"/>
        <w:ind w:left="0"/>
        <w:jc w:val="left"/>
      </w:pPr>
      <w:r>
        <w:rPr>
          <w:rFonts w:eastAsia="等线" w:ascii="Arial" w:cs="Arial" w:hAnsi="Arial"/>
          <w:sz w:val="22"/>
        </w:rPr>
        <w:t>This chapter will elaborate on how the Ultralytics Yolo model can be converted to the very high performance inference format - TensorRT - on NVIDIA Jetson.</w:t>
      </w:r>
    </w:p>
    <w:p>
      <w:pPr>
        <w:pStyle w:val="2"/>
        <w:spacing w:before="320" w:after="120" w:line="288" w:lineRule="auto"/>
        <w:ind w:left="0"/>
        <w:jc w:val="left"/>
        <w:outlineLvl w:val="1"/>
      </w:pPr>
      <w:bookmarkStart w:name="heading_1" w:id="1"/>
      <w:r>
        <w:rPr>
          <w:rFonts w:eastAsia="等线" w:ascii="Arial" w:cs="Arial" w:hAnsi="Arial"/>
          <w:b w:val="true"/>
          <w:sz w:val="32"/>
        </w:rPr>
        <w:t>Model conversion</w:t>
      </w:r>
      <w:bookmarkEnd w:id="1"/>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8280"/>
      </w:tblGrid>
      <w:tr>
        <w:tc>
          <w:tcPr>
            <w:tcW w:w="8280" w:type="dxa"/>
            <w:shd w:color="auto" w:val="clear" w:fill="f5f6f7"/>
            <w:tcMar>
              <w:top w:type="dxa" w:w="60"/>
              <w:left w:type="dxa" w:w="120"/>
              <w:bottom w:type="dxa" w:w="30"/>
              <w:right w:type="dxa" w:w="120"/>
            </w:tcMar>
          </w:tcPr>
          <w:p>
            <w:pPr>
              <w:spacing w:before="120" w:after="120" w:line="288" w:lineRule="auto"/>
              <w:jc w:val="left"/>
            </w:pPr>
            <w:r>
              <w:rPr>
                <w:rFonts w:eastAsia="Consolas" w:ascii="Consolas" w:cs="Consolas" w:hAnsi="Consolas"/>
                <w:color w:val="646a73"/>
                <w:sz w:val="22"/>
              </w:rPr>
              <w:br/>
            </w:r>
            <w:r>
              <w:rPr>
                <w:rFonts w:eastAsia="Consolas" w:ascii="Consolas" w:cs="Consolas" w:hAnsi="Consolas"/>
                <w:sz w:val="22"/>
              </w:rPr>
              <w:t>source /opt/seeed/development_guide/envs/.yolo/bin/activate</w:t>
              <w:br/>
              <w:t>cd /opt/seeed/development_guide/07_cv_advanced/yolo/runs/detect/train/weights</w:t>
              <w:br/>
            </w:r>
            <w:r>
              <w:rPr>
                <w:rFonts w:eastAsia="Consolas" w:ascii="Consolas" w:cs="Consolas" w:hAnsi="Consolas"/>
                <w:sz w:val="22"/>
              </w:rPr>
              <w:t>yolo export model=best.pt format=engine</w:t>
            </w:r>
          </w:p>
        </w:tc>
      </w:tr>
    </w:tbl>
    <w:p/>
    <w:tbl>
      <w:tblPr>
        <w:tblW w:w="0" w:type="auto"/>
        <w:tblInd w:w="0" w:type="dxa"/>
        <w:tblBorders>
          <w:top w:val="single" w:color="fed4a4"/>
          <w:left w:val="single" w:color="fed4a4"/>
          <w:bottom w:val="single" w:color="fed4a4"/>
          <w:right w:val="single" w:color="fed4a4"/>
          <w:insideH w:val="single" w:color="fed4a4"/>
          <w:insideV w:val="single" w:color="fed4a4"/>
        </w:tblBorders>
        <w:tblLayout w:type="fixed"/>
      </w:tblPr>
      <w:tblGrid>
        <w:gridCol w:w="8280"/>
      </w:tblGrid>
      <w:tr>
        <w:tc>
          <w:tcPr>
            <w:tcW w:w="8280" w:type="dxa"/>
            <w:shd w:color="auto" w:val="clear" w:fill="fff5eb"/>
            <w:tcMar>
              <w:top w:type="dxa" w:w="60"/>
              <w:left w:type="dxa" w:w="120"/>
              <w:bottom w:type="dxa" w:w="30"/>
              <w:right w:type="dxa" w:w="120"/>
            </w:tcMar>
          </w:tcPr>
          <w:p>
            <w:pPr>
              <w:spacing w:before="120" w:after="120" w:line="288" w:lineRule="auto"/>
              <w:ind w:left="0"/>
              <w:jc w:val="left"/>
            </w:pPr>
            <w:r>
              <w:rPr>
                <w:rFonts w:eastAsia="等线" w:ascii="Arial" w:cs="Arial" w:hAnsi="Arial"/>
                <w:sz w:val="22"/>
              </w:rPr>
              <w:t>If an onnx-related error occurs during the export, you can run the uv pip install onnx package installation.</w:t>
            </w:r>
            <w:r>
              <w:rPr>
                <w:rFonts w:eastAsia="Consolas" w:ascii="Consolas" w:cs="Consolas" w:hAnsi="Consolas"/>
                <w:sz w:val="22"/>
                <w:shd w:fill="EFF0F1"/>
              </w:rPr>
            </w:r>
            <w:r>
              <w:rPr>
                <w:rFonts w:eastAsia="等线" w:ascii="Arial" w:cs="Arial" w:hAnsi="Arial"/>
                <w:sz w:val="22"/>
              </w:rPr>
            </w:r>
          </w:p>
        </w:tc>
      </w:tr>
    </w:tbl>
    <w:p/>
    <w:tbl>
      <w:tblPr>
        <w:tblW w:w="0" w:type="auto"/>
        <w:tblInd w:w="0" w:type="dxa"/>
        <w:tblBorders>
          <w:top w:val="single" w:color="fed4a4"/>
          <w:left w:val="single" w:color="fed4a4"/>
          <w:bottom w:val="single" w:color="fed4a4"/>
          <w:right w:val="single" w:color="fed4a4"/>
          <w:insideH w:val="single" w:color="fed4a4"/>
          <w:insideV w:val="single" w:color="fed4a4"/>
        </w:tblBorders>
        <w:tblLayout w:type="fixed"/>
      </w:tblPr>
      <w:tblGrid>
        <w:gridCol w:w="8280"/>
      </w:tblGrid>
      <w:tr>
        <w:tc>
          <w:tcPr>
            <w:tcW w:w="8280" w:type="dxa"/>
            <w:shd w:color="auto" w:val="clear" w:fill="fff5eb"/>
            <w:tcMar>
              <w:top w:type="dxa" w:w="60"/>
              <w:left w:type="dxa" w:w="120"/>
              <w:bottom w:type="dxa" w:w="30"/>
              <w:right w:type="dxa" w:w="120"/>
            </w:tcMar>
          </w:tcPr>
          <w:p>
            <w:pPr>
              <w:spacing w:before="120" w:after="120" w:line="288" w:lineRule="auto"/>
              <w:ind w:left="0"/>
              <w:jc w:val="left"/>
            </w:pPr>
            <w:r>
              <w:rPr>
                <w:rFonts w:eastAsia="等线" w:ascii="Arial" w:cs="Arial" w:hAnsi="Arial"/>
                <w:sz w:val="22"/>
              </w:rPr>
              <w:t>If there is a tensorrt-related error in the export, you can run the command below to create a soft connection.</w:t>
            </w:r>
          </w:p>
          <w:p>
            <w:pPr>
              <w:spacing w:before="120" w:after="120" w:line="288" w:lineRule="auto"/>
              <w:ind w:left="0"/>
              <w:jc w:val="left"/>
            </w:pPr>
            <w:r>
              <w:rPr>
                <w:rFonts w:eastAsia="Consolas" w:ascii="Consolas" w:cs="Consolas" w:hAnsi="Consolas"/>
                <w:sz w:val="22"/>
                <w:shd w:fill="EFF0F1"/>
              </w:rPr>
              <w:t xml:space="preserve">In-s  </w:t>
            </w:r>
          </w:p>
        </w:tc>
      </w:tr>
    </w:tbl>
    <w:p>
      <w:pPr>
        <w:spacing w:before="120" w:after="120" w:line="288" w:lineRule="auto"/>
        <w:ind w:left="0"/>
        <w:jc w:val="center"/>
      </w:pPr>
      <w:r>
        <w:drawing>
          <wp:inline distT="0" distR="0" distB="0" distL="0">
            <wp:extent cx="5257800" cy="2105025"/>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4"/>
                    <a:stretch>
                      <a:fillRect/>
                    </a:stretch>
                  </pic:blipFill>
                  <pic:spPr>
                    <a:xfrm>
                      <a:off x="0" y="0"/>
                      <a:ext cx="5257800" cy="2105025"/>
                    </a:xfrm>
                    <a:prstGeom prst="rect">
                      <a:avLst/>
                    </a:prstGeom>
                  </pic:spPr>
                </pic:pic>
              </a:graphicData>
            </a:graphic>
          </wp:inline>
        </w:drawing>
      </w:r>
    </w:p>
    <w:p>
      <w:pPr>
        <w:spacing w:before="120" w:after="120" w:line="288" w:lineRule="auto"/>
        <w:ind w:left="0"/>
        <w:jc w:val="left"/>
      </w:pPr>
      <w:r>
        <w:rPr>
          <w:rFonts w:eastAsia="等线" w:ascii="Arial" w:cs="Arial" w:hAnsi="Arial"/>
          <w:sz w:val="22"/>
        </w:rPr>
        <w:t>If everything goes well, you will find a new model file in the same directory that ends with .engine.</w:t>
      </w:r>
      <w:r>
        <w:rPr>
          <w:rFonts w:eastAsia="Consolas" w:ascii="Consolas" w:cs="Consolas" w:hAnsi="Consolas"/>
          <w:sz w:val="22"/>
          <w:shd w:fill="EFF0F1"/>
        </w:rPr>
      </w:r>
      <w:r>
        <w:rPr>
          <w:rFonts w:eastAsia="等线" w:ascii="Arial" w:cs="Arial" w:hAnsi="Arial"/>
          <w:sz w:val="22"/>
        </w:rPr>
      </w:r>
    </w:p>
    <w:p>
      <w:pPr>
        <w:spacing w:before="120" w:after="120" w:line="288" w:lineRule="auto"/>
        <w:ind w:left="0"/>
        <w:jc w:val="center"/>
      </w:pPr>
      <w:r>
        <w:drawing>
          <wp:inline distT="0" distR="0" distB="0" distL="0">
            <wp:extent cx="5257800" cy="1428750"/>
            <wp:docPr id="1" name="Drawing 1" descr=""/>
            <a:graphic xmlns:a="http://schemas.openxmlformats.org/drawingml/2006/main">
              <a:graphicData uri="http://schemas.openxmlformats.org/drawingml/2006/picture">
                <pic:pic xmlns:pic="http://schemas.openxmlformats.org/drawingml/2006/picture">
                  <pic:nvPicPr>
                    <pic:cNvPr id="0" name="Picture 1" descr=""/>
                    <pic:cNvPicPr>
                      <a:picLocks noChangeAspect="true"/>
                    </pic:cNvPicPr>
                  </pic:nvPicPr>
                  <pic:blipFill>
                    <a:blip r:embed="rId5"/>
                    <a:stretch>
                      <a:fillRect/>
                    </a:stretch>
                  </pic:blipFill>
                  <pic:spPr>
                    <a:xfrm>
                      <a:off x="0" y="0"/>
                      <a:ext cx="5257800" cy="1428750"/>
                    </a:xfrm>
                    <a:prstGeom prst="rect">
                      <a:avLst/>
                    </a:prstGeom>
                  </pic:spPr>
                </pic:pic>
              </a:graphicData>
            </a:graphic>
          </wp:inline>
        </w:drawing>
      </w:r>
    </w:p>
    <w:p>
      <w:pPr>
        <w:pStyle w:val="2"/>
        <w:spacing w:before="320" w:after="120" w:line="288" w:lineRule="auto"/>
        <w:ind w:left="0"/>
        <w:jc w:val="left"/>
        <w:outlineLvl w:val="1"/>
      </w:pPr>
      <w:bookmarkStart w:name="heading_2" w:id="2"/>
      <w:r>
        <w:rPr>
          <w:rFonts w:eastAsia="等线" w:ascii="Arial" w:cs="Arial" w:hAnsi="Arial"/>
          <w:b w:val="true"/>
          <w:sz w:val="32"/>
        </w:rPr>
        <w:t>Reference Connection</w:t>
      </w:r>
      <w:bookmarkEnd w:id="2"/>
    </w:p>
    <w:p>
      <w:pPr>
        <w:spacing w:before="120" w:after="120" w:line="288" w:lineRule="auto"/>
        <w:ind w:left="0"/>
        <w:jc w:val="left"/>
      </w:pPr>
      <w:r>
        <w:rPr>
          <w:rFonts w:eastAsia="等线" w:ascii="Arial" w:cs="Arial" w:hAnsi="Arial"/>
          <w:sz w:val="22"/>
        </w:rPr>
        <w:t>https://github.com/ultralytics/ultralytics</w:t>
      </w:r>
    </w:p>
    <w:p>
      <w:pPr>
        <w:spacing w:before="120" w:after="120" w:line="288" w:lineRule="auto"/>
        <w:ind w:left="0"/>
        <w:jc w:val="left"/>
      </w:pPr>
      <w:r>
        <w:rPr>
          <w:rFonts w:eastAsia="等线" w:ascii="Arial" w:cs="Arial" w:hAnsi="Arial"/>
          <w:sz w:val="22"/>
        </w:rPr>
        <w:t>https://docs.ultralytics.com/modes/export</w:t>
      </w:r>
    </w:p>
    <w:p>
      <w:pPr>
        <w:spacing w:before="120" w:after="120" w:line="288" w:lineRule="auto"/>
        <w:ind w:left="0"/>
        <w:jc w:val="left"/>
      </w:pPr>
    </w:p>
    <w:sectPr>
      <w:footerReference w:type="default" r:id="rId3"/>
      <w:headerReference w:type="default" r:id="rId6"/>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2026-03-31T03:43:24Z</dcterms:created>
  <dc:creator>Apache POI</dc:creator>
</cp:coreProperties>
</file>